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377E9" w14:textId="0082F8F2" w:rsidR="00656539" w:rsidRDefault="00431BEB" w:rsidP="00431BEB">
      <w:pPr>
        <w:jc w:val="center"/>
        <w:rPr>
          <w:b/>
          <w:sz w:val="28"/>
        </w:rPr>
      </w:pPr>
      <w:r>
        <w:rPr>
          <w:rFonts w:ascii="Helvetica" w:hAnsi="Helvetica" w:cs="Helvetica"/>
          <w:noProof/>
        </w:rPr>
        <w:drawing>
          <wp:inline distT="0" distB="0" distL="0" distR="0" wp14:anchorId="5412E197" wp14:editId="756360BC">
            <wp:extent cx="2130425" cy="11753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0425" cy="1175385"/>
                    </a:xfrm>
                    <a:prstGeom prst="rect">
                      <a:avLst/>
                    </a:prstGeom>
                    <a:noFill/>
                    <a:ln>
                      <a:noFill/>
                    </a:ln>
                  </pic:spPr>
                </pic:pic>
              </a:graphicData>
            </a:graphic>
          </wp:inline>
        </w:drawing>
      </w:r>
    </w:p>
    <w:p w14:paraId="3B951E14" w14:textId="77777777" w:rsidR="00431BEB" w:rsidRDefault="00431BEB">
      <w:pPr>
        <w:rPr>
          <w:b/>
          <w:sz w:val="28"/>
        </w:rPr>
      </w:pPr>
    </w:p>
    <w:p w14:paraId="2320F219" w14:textId="53095DB9" w:rsidR="006C3D70" w:rsidRPr="009F5FCF" w:rsidRDefault="009F5FCF">
      <w:pPr>
        <w:rPr>
          <w:b/>
          <w:sz w:val="28"/>
        </w:rPr>
      </w:pPr>
      <w:r w:rsidRPr="009F5FCF">
        <w:rPr>
          <w:b/>
          <w:sz w:val="28"/>
        </w:rPr>
        <w:t xml:space="preserve">Windfall, Inc.  – </w:t>
      </w:r>
      <w:r w:rsidR="000760CA">
        <w:rPr>
          <w:b/>
          <w:sz w:val="28"/>
        </w:rPr>
        <w:t xml:space="preserve">Revised </w:t>
      </w:r>
      <w:r w:rsidRPr="009F5FCF">
        <w:rPr>
          <w:b/>
          <w:sz w:val="28"/>
        </w:rPr>
        <w:t>Private Revenue Strategies</w:t>
      </w:r>
      <w:r w:rsidR="00C15E87">
        <w:rPr>
          <w:b/>
          <w:sz w:val="28"/>
        </w:rPr>
        <w:t xml:space="preserve"> Brief</w:t>
      </w:r>
    </w:p>
    <w:p w14:paraId="5A5B3FE8" w14:textId="77777777" w:rsidR="009F5FCF" w:rsidRDefault="009F5FCF"/>
    <w:p w14:paraId="79AF9B31" w14:textId="4D0B6433" w:rsidR="003E796E" w:rsidRPr="003E796E" w:rsidRDefault="00B94A90">
      <w:pPr>
        <w:rPr>
          <w:b/>
          <w:sz w:val="28"/>
        </w:rPr>
      </w:pPr>
      <w:r>
        <w:rPr>
          <w:b/>
          <w:sz w:val="28"/>
        </w:rPr>
        <w:t xml:space="preserve">Discussed Private Revenue </w:t>
      </w:r>
      <w:r w:rsidR="00BF7CEC">
        <w:rPr>
          <w:b/>
          <w:sz w:val="28"/>
        </w:rPr>
        <w:t xml:space="preserve">Strategies </w:t>
      </w:r>
      <w:r w:rsidR="00BF7CEC" w:rsidRPr="003E796E">
        <w:rPr>
          <w:b/>
          <w:sz w:val="28"/>
        </w:rPr>
        <w:t>(</w:t>
      </w:r>
      <w:r w:rsidR="00320A87">
        <w:rPr>
          <w:b/>
          <w:sz w:val="28"/>
        </w:rPr>
        <w:t>in order of priority)</w:t>
      </w:r>
    </w:p>
    <w:p w14:paraId="6761D982" w14:textId="77777777" w:rsidR="00B94A90" w:rsidRDefault="00B94A90" w:rsidP="00B94A90">
      <w:pPr>
        <w:rPr>
          <w:b/>
        </w:rPr>
      </w:pPr>
    </w:p>
    <w:p w14:paraId="5EA8DEFF" w14:textId="52D9B8DC" w:rsidR="00B94A90" w:rsidRPr="00D1472C" w:rsidRDefault="007E59BF" w:rsidP="00B94A90">
      <w:pPr>
        <w:rPr>
          <w:b/>
        </w:rPr>
      </w:pPr>
      <w:r>
        <w:rPr>
          <w:b/>
        </w:rPr>
        <w:t xml:space="preserve">Option 1: </w:t>
      </w:r>
      <w:r w:rsidR="00B94A90" w:rsidRPr="00D1472C">
        <w:rPr>
          <w:b/>
        </w:rPr>
        <w:t xml:space="preserve">Corporate </w:t>
      </w:r>
      <w:r w:rsidR="00BF7CEC">
        <w:rPr>
          <w:b/>
        </w:rPr>
        <w:t>S</w:t>
      </w:r>
      <w:r w:rsidR="00B94A90">
        <w:rPr>
          <w:b/>
        </w:rPr>
        <w:t xml:space="preserve">ponsorship </w:t>
      </w:r>
      <w:r w:rsidR="00BF7CEC">
        <w:rPr>
          <w:b/>
        </w:rPr>
        <w:t>P</w:t>
      </w:r>
      <w:r w:rsidR="00B94A90" w:rsidRPr="00D1472C">
        <w:rPr>
          <w:b/>
        </w:rPr>
        <w:t>lan</w:t>
      </w:r>
      <w:r w:rsidR="00AE323E">
        <w:rPr>
          <w:b/>
        </w:rPr>
        <w:t xml:space="preserve"> Model</w:t>
      </w:r>
      <w:r w:rsidR="00B94A90" w:rsidRPr="00D1472C">
        <w:rPr>
          <w:b/>
        </w:rPr>
        <w:t>:</w:t>
      </w:r>
    </w:p>
    <w:p w14:paraId="0F7FBB46" w14:textId="77777777" w:rsidR="00B94A90" w:rsidRDefault="00B94A90" w:rsidP="00B94A90"/>
    <w:p w14:paraId="32402FB7" w14:textId="77777777" w:rsidR="00B94A90" w:rsidRPr="001E7B6F" w:rsidRDefault="00B94A90" w:rsidP="00B94A90">
      <w:pPr>
        <w:rPr>
          <w:b/>
        </w:rPr>
      </w:pPr>
      <w:r w:rsidRPr="001E7B6F">
        <w:rPr>
          <w:b/>
        </w:rPr>
        <w:t>Cost for partners:</w:t>
      </w:r>
    </w:p>
    <w:p w14:paraId="5045E135" w14:textId="5FA5F7B1" w:rsidR="00B94A90" w:rsidRDefault="00B94A90" w:rsidP="00B94A90">
      <w:pPr>
        <w:pStyle w:val="ListParagraph"/>
        <w:numPr>
          <w:ilvl w:val="0"/>
          <w:numId w:val="3"/>
        </w:numPr>
      </w:pPr>
      <w:r>
        <w:t xml:space="preserve">Goal of acquiring five major corporate sponsors, while allowing current </w:t>
      </w:r>
      <w:r w:rsidR="00B52DBC">
        <w:t>sponsors to be gr</w:t>
      </w:r>
      <w:r w:rsidR="00341E10">
        <w:t>andfathered in at current rate / with current benefits/agreements honored.</w:t>
      </w:r>
    </w:p>
    <w:p w14:paraId="5BDD28F5" w14:textId="199AD8B1" w:rsidR="00B94A90" w:rsidRDefault="00B94A90" w:rsidP="00B94A90">
      <w:pPr>
        <w:pStyle w:val="ListParagraph"/>
        <w:numPr>
          <w:ilvl w:val="0"/>
          <w:numId w:val="2"/>
        </w:numPr>
      </w:pPr>
      <w:r>
        <w:t>$4,800 Partner Investment ($400 a month payments or $4</w:t>
      </w:r>
      <w:r w:rsidR="00921CE1">
        <w:t>,</w:t>
      </w:r>
      <w:r>
        <w:t>500 lump sum payment and save $300) – seek a 2-year commitment from each partner.</w:t>
      </w:r>
    </w:p>
    <w:p w14:paraId="1B1635F7" w14:textId="42CD2655" w:rsidR="00B94A90" w:rsidRDefault="00B94A90" w:rsidP="00B94A90">
      <w:pPr>
        <w:pStyle w:val="ListParagraph"/>
        <w:numPr>
          <w:ilvl w:val="0"/>
          <w:numId w:val="2"/>
        </w:numPr>
      </w:pPr>
      <w:r>
        <w:t xml:space="preserve">Windfall would charge a discounted 15% commission for </w:t>
      </w:r>
      <w:r w:rsidR="00B52DBC">
        <w:t xml:space="preserve">acquiring sponsorships </w:t>
      </w:r>
      <w:r>
        <w:t>($3,375-$3,600)</w:t>
      </w:r>
    </w:p>
    <w:p w14:paraId="498EF59F" w14:textId="3A4D8E71" w:rsidR="00B52DBC" w:rsidRDefault="00B52DBC" w:rsidP="00B94A90">
      <w:pPr>
        <w:pStyle w:val="ListParagraph"/>
        <w:numPr>
          <w:ilvl w:val="0"/>
          <w:numId w:val="2"/>
        </w:numPr>
      </w:pPr>
      <w:r>
        <w:t>John and Brenda to help acquire leads and approve all packages</w:t>
      </w:r>
    </w:p>
    <w:p w14:paraId="4FA0F630" w14:textId="77777777" w:rsidR="00921CE1" w:rsidRDefault="00921CE1" w:rsidP="00921CE1">
      <w:pPr>
        <w:pStyle w:val="ListParagraph"/>
        <w:numPr>
          <w:ilvl w:val="0"/>
          <w:numId w:val="2"/>
        </w:numPr>
      </w:pPr>
      <w:r>
        <w:t>Potential revenue for Visit SEMT would be $22,500 - $24,000</w:t>
      </w:r>
    </w:p>
    <w:p w14:paraId="7D1C1FC8" w14:textId="06DB6B74" w:rsidR="00341E10" w:rsidRDefault="00341E10" w:rsidP="00921CE1">
      <w:pPr>
        <w:pStyle w:val="ListParagraph"/>
        <w:numPr>
          <w:ilvl w:val="0"/>
          <w:numId w:val="2"/>
        </w:numPr>
      </w:pPr>
      <w:r>
        <w:t>Focus on public/private entities within the region – have a location at the least inside the region.</w:t>
      </w:r>
      <w:r w:rsidR="00E57753">
        <w:t xml:space="preserve">  Move to wider geographic focus if necessary.</w:t>
      </w:r>
    </w:p>
    <w:p w14:paraId="0434ADBF" w14:textId="77777777" w:rsidR="00E57753" w:rsidRDefault="00E57753" w:rsidP="00E57753"/>
    <w:tbl>
      <w:tblPr>
        <w:tblStyle w:val="TableGrid"/>
        <w:tblW w:w="0" w:type="auto"/>
        <w:tblLook w:val="04A0" w:firstRow="1" w:lastRow="0" w:firstColumn="1" w:lastColumn="0" w:noHBand="0" w:noVBand="1"/>
      </w:tblPr>
      <w:tblGrid>
        <w:gridCol w:w="4675"/>
        <w:gridCol w:w="4675"/>
      </w:tblGrid>
      <w:tr w:rsidR="00E57753" w14:paraId="33FD46E1" w14:textId="77777777" w:rsidTr="00E57753">
        <w:tc>
          <w:tcPr>
            <w:tcW w:w="4675" w:type="dxa"/>
          </w:tcPr>
          <w:p w14:paraId="5B533D1F" w14:textId="2545ECEC" w:rsidR="00E57753" w:rsidRPr="008C6BA5" w:rsidRDefault="00E57753" w:rsidP="00E57753">
            <w:pPr>
              <w:rPr>
                <w:b/>
              </w:rPr>
            </w:pPr>
            <w:r w:rsidRPr="008C6BA5">
              <w:rPr>
                <w:b/>
              </w:rPr>
              <w:t xml:space="preserve">5 Strategic Partnership Sold – Minimum </w:t>
            </w:r>
          </w:p>
        </w:tc>
        <w:tc>
          <w:tcPr>
            <w:tcW w:w="4675" w:type="dxa"/>
          </w:tcPr>
          <w:p w14:paraId="235CA39B" w14:textId="59EF76CD" w:rsidR="00E57753" w:rsidRDefault="00E57753" w:rsidP="00E57753">
            <w:r>
              <w:t xml:space="preserve">$4,500 </w:t>
            </w:r>
            <w:r w:rsidR="008C6BA5">
              <w:t>Each = $22,500</w:t>
            </w:r>
          </w:p>
        </w:tc>
      </w:tr>
      <w:tr w:rsidR="00E57753" w14:paraId="392987C9" w14:textId="77777777" w:rsidTr="008C6BA5">
        <w:trPr>
          <w:trHeight w:val="260"/>
        </w:trPr>
        <w:tc>
          <w:tcPr>
            <w:tcW w:w="4675" w:type="dxa"/>
          </w:tcPr>
          <w:p w14:paraId="1694E9DA" w14:textId="0AF12980" w:rsidR="00E57753" w:rsidRPr="008C6BA5" w:rsidRDefault="008C6BA5" w:rsidP="00E57753">
            <w:pPr>
              <w:rPr>
                <w:b/>
              </w:rPr>
            </w:pPr>
            <w:r>
              <w:rPr>
                <w:b/>
              </w:rPr>
              <w:t xml:space="preserve">15% Windfall Sales/Benefit Management </w:t>
            </w:r>
          </w:p>
        </w:tc>
        <w:tc>
          <w:tcPr>
            <w:tcW w:w="4675" w:type="dxa"/>
          </w:tcPr>
          <w:p w14:paraId="69DC07F1" w14:textId="20EF36A4" w:rsidR="00E57753" w:rsidRDefault="008C6BA5" w:rsidP="00E57753">
            <w:r>
              <w:t>$3,375 Total</w:t>
            </w:r>
          </w:p>
        </w:tc>
      </w:tr>
    </w:tbl>
    <w:p w14:paraId="60805BD1" w14:textId="77777777" w:rsidR="00E57753" w:rsidRDefault="00E57753" w:rsidP="00E57753"/>
    <w:p w14:paraId="3E21040C" w14:textId="77777777" w:rsidR="00B94A90" w:rsidRPr="00746248" w:rsidRDefault="00B94A90" w:rsidP="00B94A90">
      <w:pPr>
        <w:pStyle w:val="ListParagraph"/>
      </w:pPr>
    </w:p>
    <w:p w14:paraId="13A5067F" w14:textId="04EE6B17" w:rsidR="00B94A90" w:rsidRPr="00C15E87" w:rsidRDefault="00B94A90" w:rsidP="00B94A90">
      <w:pPr>
        <w:rPr>
          <w:b/>
          <w:i/>
        </w:rPr>
      </w:pPr>
      <w:r w:rsidRPr="00C15E87">
        <w:rPr>
          <w:b/>
          <w:i/>
        </w:rPr>
        <w:t>CORE Partner benefits</w:t>
      </w:r>
      <w:r w:rsidR="00B52DBC">
        <w:rPr>
          <w:b/>
          <w:i/>
        </w:rPr>
        <w:t>, customizable based on partner needs and preferences</w:t>
      </w:r>
      <w:r w:rsidRPr="00C15E87">
        <w:rPr>
          <w:b/>
          <w:i/>
        </w:rPr>
        <w:t>:</w:t>
      </w:r>
    </w:p>
    <w:p w14:paraId="4D813145" w14:textId="77777777" w:rsidR="00B94A90" w:rsidRDefault="00B94A90" w:rsidP="00B94A90">
      <w:pPr>
        <w:pStyle w:val="ListParagraph"/>
        <w:numPr>
          <w:ilvl w:val="0"/>
          <w:numId w:val="2"/>
        </w:numPr>
      </w:pPr>
      <w:r>
        <w:t>Agency will communicate with strategic partner on advertising strategy to assist the partner in working with the benefits of Visit SEMT overall strategic marketing efforts.</w:t>
      </w:r>
    </w:p>
    <w:p w14:paraId="5A0612EC" w14:textId="77777777" w:rsidR="00CB41ED" w:rsidRDefault="00CB41ED" w:rsidP="00CB41ED">
      <w:pPr>
        <w:pStyle w:val="ListParagraph"/>
        <w:numPr>
          <w:ilvl w:val="0"/>
          <w:numId w:val="2"/>
        </w:numPr>
      </w:pPr>
      <w:r>
        <w:t>Agency will communicate with strategic partner on advertising strategy to assist the partner in working with the benefits of Visit SEMT overall strategic marketing efforts.</w:t>
      </w:r>
    </w:p>
    <w:p w14:paraId="3610D85A" w14:textId="77777777" w:rsidR="00CB41ED" w:rsidRDefault="00CB41ED" w:rsidP="00CB41ED">
      <w:pPr>
        <w:pStyle w:val="ListParagraph"/>
        <w:numPr>
          <w:ilvl w:val="0"/>
          <w:numId w:val="2"/>
        </w:numPr>
      </w:pPr>
      <w:r>
        <w:t>Partner receives qualified / opt in leads monthly from Visit SEMT marketing efforts if desired.</w:t>
      </w:r>
    </w:p>
    <w:p w14:paraId="3F48CEC2" w14:textId="77777777" w:rsidR="00CB41ED" w:rsidRDefault="00CB41ED" w:rsidP="00CB41ED">
      <w:pPr>
        <w:pStyle w:val="ListParagraph"/>
        <w:numPr>
          <w:ilvl w:val="0"/>
          <w:numId w:val="2"/>
        </w:numPr>
      </w:pPr>
      <w:r>
        <w:t>Partner receives 1 annual social media cross channel strategic promotion annually.</w:t>
      </w:r>
    </w:p>
    <w:p w14:paraId="6730CF0D" w14:textId="77777777" w:rsidR="00CB41ED" w:rsidRDefault="00CB41ED" w:rsidP="00CB41ED">
      <w:pPr>
        <w:pStyle w:val="ListParagraph"/>
        <w:numPr>
          <w:ilvl w:val="0"/>
          <w:numId w:val="2"/>
        </w:numPr>
      </w:pPr>
      <w:r>
        <w:t>Partner receives $5,000 worth of cross-branded digital media placement promotion with Visit SEMT.  (Programmatic Advertising Creative)</w:t>
      </w:r>
    </w:p>
    <w:p w14:paraId="32EB3642" w14:textId="62D65FAD" w:rsidR="00341E10" w:rsidRDefault="00CB41ED" w:rsidP="00341E10">
      <w:pPr>
        <w:pStyle w:val="ListParagraph"/>
        <w:numPr>
          <w:ilvl w:val="1"/>
          <w:numId w:val="2"/>
        </w:numPr>
      </w:pPr>
      <w:r w:rsidRPr="00AC21C3">
        <w:t>This may come in the form of public relations, social media strategy, traditional advertising, or other formats under the approval of Visit SEMT.</w:t>
      </w:r>
    </w:p>
    <w:p w14:paraId="723667A3" w14:textId="77777777" w:rsidR="00AE323E" w:rsidRDefault="00AE323E" w:rsidP="00AE323E"/>
    <w:p w14:paraId="427D5942" w14:textId="552151EE" w:rsidR="00341E10" w:rsidRPr="001E7B6F" w:rsidRDefault="00341E10" w:rsidP="00341E10">
      <w:pPr>
        <w:rPr>
          <w:b/>
        </w:rPr>
      </w:pPr>
      <w:r w:rsidRPr="00AE323E">
        <w:rPr>
          <w:b/>
        </w:rPr>
        <w:lastRenderedPageBreak/>
        <w:t>Based on approved course of action with the website, Windfall will work within realistic resources to provide website opportunities.</w:t>
      </w:r>
    </w:p>
    <w:p w14:paraId="60E1A6ED" w14:textId="1B38A6C0" w:rsidR="003E796E" w:rsidRDefault="00B94A90" w:rsidP="00320A87">
      <w:pPr>
        <w:pStyle w:val="ListParagraph"/>
        <w:numPr>
          <w:ilvl w:val="0"/>
          <w:numId w:val="2"/>
        </w:numPr>
      </w:pPr>
      <w:r>
        <w:t>Partner receives bonus promotion that will vary based on the various projects conducted by the</w:t>
      </w:r>
    </w:p>
    <w:p w14:paraId="543F3BC4" w14:textId="09DB5A8D" w:rsidR="001E7B6F" w:rsidRDefault="001B79D1" w:rsidP="001E7B6F">
      <w:pPr>
        <w:pStyle w:val="ListParagraph"/>
        <w:numPr>
          <w:ilvl w:val="0"/>
          <w:numId w:val="2"/>
        </w:numPr>
      </w:pPr>
      <w:r>
        <w:t xml:space="preserve">Partner receives featured listing status for their business segment on Visit SEMT’s website or microsite. </w:t>
      </w:r>
    </w:p>
    <w:p w14:paraId="2FDAFEAA" w14:textId="77777777" w:rsidR="008C6BA5" w:rsidRDefault="001E7B6F" w:rsidP="00AE323E">
      <w:pPr>
        <w:pStyle w:val="ListParagraph"/>
        <w:numPr>
          <w:ilvl w:val="0"/>
          <w:numId w:val="2"/>
        </w:numPr>
      </w:pPr>
      <w:r w:rsidRPr="001E7B6F">
        <w:t>Windfall will develop customized strategies based on the sponsor’s needs collected through interview and plan development phase.</w:t>
      </w:r>
    </w:p>
    <w:p w14:paraId="242F4D5A" w14:textId="7F6898FE" w:rsidR="00AE323E" w:rsidRPr="008C6BA5" w:rsidRDefault="00AE323E" w:rsidP="008C6BA5">
      <w:pPr>
        <w:pStyle w:val="ListParagraph"/>
      </w:pPr>
      <w:r w:rsidRPr="008C6BA5">
        <w:rPr>
          <w:b/>
          <w:sz w:val="28"/>
        </w:rPr>
        <w:t>Windfall, Inc.  – Revised Private Revenue Strategies Brief</w:t>
      </w:r>
    </w:p>
    <w:p w14:paraId="68E35C4F" w14:textId="77777777" w:rsidR="00AE323E" w:rsidRDefault="00AE323E" w:rsidP="00AE323E"/>
    <w:p w14:paraId="1181932D" w14:textId="0595B168" w:rsidR="009F5FCF" w:rsidRDefault="007E59BF" w:rsidP="00DD4396">
      <w:pPr>
        <w:rPr>
          <w:b/>
        </w:rPr>
      </w:pPr>
      <w:r>
        <w:rPr>
          <w:b/>
        </w:rPr>
        <w:t xml:space="preserve">Option 2: </w:t>
      </w:r>
      <w:r w:rsidR="009F5FCF" w:rsidRPr="00DD4396">
        <w:rPr>
          <w:b/>
        </w:rPr>
        <w:t>Micro-site Partnership Model</w:t>
      </w:r>
      <w:r w:rsidR="00471AA8" w:rsidRPr="00DD4396">
        <w:rPr>
          <w:b/>
        </w:rPr>
        <w:t xml:space="preserve"> (with a new bed tax website developed for Visit SEMT)</w:t>
      </w:r>
    </w:p>
    <w:p w14:paraId="08EA2422" w14:textId="77777777" w:rsidR="00DD4396" w:rsidRPr="00DD4396" w:rsidRDefault="00DD4396" w:rsidP="00DD4396">
      <w:pPr>
        <w:rPr>
          <w:b/>
        </w:rPr>
      </w:pPr>
    </w:p>
    <w:p w14:paraId="4B2A30F7" w14:textId="77777777" w:rsidR="00DD4396" w:rsidRDefault="009F5FCF">
      <w:r>
        <w:t xml:space="preserve">Construct a micro site for Visit SEMT and drive all paid and social media </w:t>
      </w:r>
      <w:r w:rsidR="00DD4396">
        <w:t xml:space="preserve">traffic </w:t>
      </w:r>
      <w:r>
        <w:t xml:space="preserve">to the micro-site first in the campaign strategy.  </w:t>
      </w:r>
    </w:p>
    <w:p w14:paraId="5E7AD63E" w14:textId="77777777" w:rsidR="00DD4396" w:rsidRDefault="00DD4396"/>
    <w:p w14:paraId="68E9EC76" w14:textId="2CA55A02" w:rsidR="009F5FCF" w:rsidRDefault="009F5FCF">
      <w:r>
        <w:t>Leverage marketing partnership</w:t>
      </w:r>
      <w:r w:rsidR="00AE323E">
        <w:t>s to join you in the strategy by</w:t>
      </w:r>
      <w:r>
        <w:t xml:space="preserve"> offering them</w:t>
      </w:r>
      <w:r w:rsidR="00AE323E">
        <w:t xml:space="preserve"> placement on the micro-site as well as </w:t>
      </w:r>
      <w:r>
        <w:t xml:space="preserve"> leads collected from the micro-site from visitors responding to campaign messaging.</w:t>
      </w:r>
    </w:p>
    <w:p w14:paraId="7121550A" w14:textId="77777777" w:rsidR="009F5FCF" w:rsidRDefault="009F5FCF"/>
    <w:p w14:paraId="26C8493C" w14:textId="5D6D958D" w:rsidR="009F5FCF" w:rsidRDefault="00AE323E">
      <w:r>
        <w:t>The Micro-site is a</w:t>
      </w:r>
      <w:r w:rsidR="009F5FCF">
        <w:t xml:space="preserve"> year round paid gateway to the website and has 5 potential marketing partners represented with logos, links, and some promotional copy.  Bi-weekly lead sharing is provided to the partners from the Visit</w:t>
      </w:r>
      <w:r>
        <w:t xml:space="preserve"> SEMT agency of record.  Windfall will provide lead capturing that will continue to go on to the call center with a database copy being maintained </w:t>
      </w:r>
    </w:p>
    <w:p w14:paraId="77D569C7" w14:textId="77777777" w:rsidR="003E796E" w:rsidRDefault="003E796E" w:rsidP="003E796E"/>
    <w:p w14:paraId="5147FEB0" w14:textId="77777777" w:rsidR="003E796E" w:rsidRPr="003E796E" w:rsidRDefault="003E796E" w:rsidP="003E796E">
      <w:pPr>
        <w:rPr>
          <w:b/>
        </w:rPr>
      </w:pPr>
      <w:r w:rsidRPr="003E796E">
        <w:rPr>
          <w:b/>
        </w:rPr>
        <w:t>Projected Visit SEMT Model</w:t>
      </w:r>
    </w:p>
    <w:p w14:paraId="52028878" w14:textId="77777777" w:rsidR="003E796E" w:rsidRDefault="003E796E" w:rsidP="003E796E">
      <w:pPr>
        <w:rPr>
          <w:i/>
        </w:rPr>
      </w:pPr>
    </w:p>
    <w:p w14:paraId="66C7BEF2" w14:textId="17F534D7" w:rsidR="001B79D1" w:rsidRDefault="00AE323E" w:rsidP="003E796E">
      <w:r w:rsidRPr="00AE323E">
        <w:t>5 Strategic partnerships integrated into the micro-si</w:t>
      </w:r>
      <w:r>
        <w:t xml:space="preserve">te.  </w:t>
      </w:r>
    </w:p>
    <w:p w14:paraId="60DC77D1" w14:textId="77777777" w:rsidR="00471AA8" w:rsidRDefault="00471AA8" w:rsidP="003E796E"/>
    <w:p w14:paraId="1B0947F8" w14:textId="088FA6B1" w:rsidR="003E796E" w:rsidRPr="00AE323E" w:rsidRDefault="00471AA8" w:rsidP="003E796E">
      <w:r>
        <w:t xml:space="preserve">Partnerships here </w:t>
      </w:r>
      <w:r w:rsidR="00AE323E">
        <w:t xml:space="preserve">will focus heavily on CVBs, private tourism stakeholders, and other applicable industries to fill the </w:t>
      </w:r>
      <w:r>
        <w:t xml:space="preserve">5 </w:t>
      </w:r>
      <w:r w:rsidR="00AE323E">
        <w:t>micro-site advertising spaces.  The package</w:t>
      </w:r>
      <w:r>
        <w:t>s could be sold at $750 to $2</w:t>
      </w:r>
      <w:r w:rsidR="00AE323E">
        <w:t>,000 each – raising fund</w:t>
      </w:r>
      <w:r>
        <w:t>s for</w:t>
      </w:r>
      <w:r w:rsidR="00AE323E">
        <w:t xml:space="preserve"> the micro-site.  Windfall w</w:t>
      </w:r>
      <w:r>
        <w:t xml:space="preserve">ould maintain 25% of the micro-site specific fees </w:t>
      </w:r>
      <w:r w:rsidR="00AE323E">
        <w:t xml:space="preserve">for the creation of the micro-site.  </w:t>
      </w:r>
      <w:r>
        <w:t>The remaining balance would be provided to Visit SEMT for their organizational needs.</w:t>
      </w:r>
    </w:p>
    <w:p w14:paraId="2838CF38" w14:textId="77777777" w:rsidR="00AE323E" w:rsidRPr="00AE323E" w:rsidRDefault="00AE323E" w:rsidP="003E796E"/>
    <w:p w14:paraId="26725CF4" w14:textId="0C0B2BB5" w:rsidR="00AE323E" w:rsidRDefault="00471AA8" w:rsidP="003E796E">
      <w:r>
        <w:t>The micro-site will be used as the primary placed paid media responders go to get more information on the region.</w:t>
      </w:r>
    </w:p>
    <w:p w14:paraId="14048265" w14:textId="77777777" w:rsidR="00471AA8" w:rsidRDefault="00471AA8" w:rsidP="003E796E"/>
    <w:p w14:paraId="239873C5" w14:textId="14BE7317" w:rsidR="00471AA8" w:rsidRDefault="00471AA8" w:rsidP="003E796E">
      <w:r>
        <w:t xml:space="preserve">Examples: </w:t>
      </w:r>
      <w:hyperlink r:id="rId8" w:history="1">
        <w:r w:rsidRPr="000212E6">
          <w:rPr>
            <w:rStyle w:val="Hyperlink"/>
          </w:rPr>
          <w:t>http://glaciermt.com/summer17.php</w:t>
        </w:r>
      </w:hyperlink>
      <w:r>
        <w:t xml:space="preserve"> </w:t>
      </w:r>
      <w:r w:rsidR="00AD3007">
        <w:t xml:space="preserve"> (Glacier Country) </w:t>
      </w:r>
      <w:r>
        <w:t xml:space="preserve"> or </w:t>
      </w:r>
      <w:hyperlink r:id="rId9" w:history="1">
        <w:r w:rsidR="00AD3007" w:rsidRPr="000212E6">
          <w:rPr>
            <w:rStyle w:val="Hyperlink"/>
          </w:rPr>
          <w:t>http://weflynorth.com/</w:t>
        </w:r>
      </w:hyperlink>
      <w:r w:rsidR="00AD3007">
        <w:t xml:space="preserve"> (YCMI)</w:t>
      </w:r>
    </w:p>
    <w:p w14:paraId="1CC2A66D" w14:textId="77777777" w:rsidR="00AD3007" w:rsidRDefault="00AD3007" w:rsidP="003E796E"/>
    <w:p w14:paraId="6AC25549" w14:textId="77777777" w:rsidR="008C6BA5" w:rsidRDefault="008C6BA5" w:rsidP="003E796E"/>
    <w:tbl>
      <w:tblPr>
        <w:tblStyle w:val="TableGrid"/>
        <w:tblW w:w="0" w:type="auto"/>
        <w:tblLook w:val="04A0" w:firstRow="1" w:lastRow="0" w:firstColumn="1" w:lastColumn="0" w:noHBand="0" w:noVBand="1"/>
      </w:tblPr>
      <w:tblGrid>
        <w:gridCol w:w="4675"/>
        <w:gridCol w:w="4675"/>
      </w:tblGrid>
      <w:tr w:rsidR="008C6BA5" w14:paraId="1F43D5CB" w14:textId="77777777" w:rsidTr="008C6BA5">
        <w:tc>
          <w:tcPr>
            <w:tcW w:w="4675" w:type="dxa"/>
          </w:tcPr>
          <w:p w14:paraId="72320678" w14:textId="530E2B97" w:rsidR="008C6BA5" w:rsidRPr="008C6BA5" w:rsidRDefault="008C6BA5" w:rsidP="003E796E">
            <w:pPr>
              <w:rPr>
                <w:b/>
              </w:rPr>
            </w:pPr>
            <w:r w:rsidRPr="008C6BA5">
              <w:rPr>
                <w:b/>
              </w:rPr>
              <w:t>5 Micro-site Advertisers</w:t>
            </w:r>
          </w:p>
        </w:tc>
        <w:tc>
          <w:tcPr>
            <w:tcW w:w="4675" w:type="dxa"/>
          </w:tcPr>
          <w:p w14:paraId="042F224F" w14:textId="61AB10A0" w:rsidR="008C6BA5" w:rsidRDefault="008C6BA5" w:rsidP="003E796E">
            <w:r>
              <w:t>$10,000 Goal (May be less to include current partners)</w:t>
            </w:r>
          </w:p>
        </w:tc>
      </w:tr>
      <w:tr w:rsidR="008C6BA5" w14:paraId="309EB18D" w14:textId="77777777" w:rsidTr="008C6BA5">
        <w:tc>
          <w:tcPr>
            <w:tcW w:w="4675" w:type="dxa"/>
          </w:tcPr>
          <w:p w14:paraId="086D7CDB" w14:textId="7AA9C2FB" w:rsidR="008C6BA5" w:rsidRPr="008C6BA5" w:rsidRDefault="008C6BA5" w:rsidP="003E796E">
            <w:pPr>
              <w:rPr>
                <w:b/>
              </w:rPr>
            </w:pPr>
            <w:r w:rsidRPr="008C6BA5">
              <w:rPr>
                <w:b/>
              </w:rPr>
              <w:t>25% Windfall Sales / Digital Management</w:t>
            </w:r>
          </w:p>
        </w:tc>
        <w:tc>
          <w:tcPr>
            <w:tcW w:w="4675" w:type="dxa"/>
          </w:tcPr>
          <w:p w14:paraId="6B5B8232" w14:textId="1957FE04" w:rsidR="008C6BA5" w:rsidRDefault="002C60B6" w:rsidP="003E796E">
            <w:r>
              <w:t>$2,500 (</w:t>
            </w:r>
            <w:r w:rsidR="008C6BA5">
              <w:t>Variable based on final revenue collected.</w:t>
            </w:r>
            <w:r>
              <w:t>)</w:t>
            </w:r>
          </w:p>
        </w:tc>
      </w:tr>
    </w:tbl>
    <w:p w14:paraId="3C4ECC07" w14:textId="77777777" w:rsidR="008C6BA5" w:rsidRDefault="008C6BA5" w:rsidP="003E796E"/>
    <w:p w14:paraId="15C03DE2" w14:textId="0A7E7B51" w:rsidR="001E7B6F" w:rsidRPr="001E7B6F" w:rsidRDefault="001B79D1" w:rsidP="003E796E">
      <w:pPr>
        <w:rPr>
          <w:b/>
        </w:rPr>
      </w:pPr>
      <w:r w:rsidRPr="001E7B6F">
        <w:rPr>
          <w:b/>
        </w:rPr>
        <w:t xml:space="preserve">The </w:t>
      </w:r>
      <w:proofErr w:type="gramStart"/>
      <w:r w:rsidR="001E7B6F" w:rsidRPr="001E7B6F">
        <w:rPr>
          <w:b/>
        </w:rPr>
        <w:t>ultimate goal</w:t>
      </w:r>
      <w:proofErr w:type="gramEnd"/>
      <w:r w:rsidRPr="001E7B6F">
        <w:rPr>
          <w:b/>
        </w:rPr>
        <w:t xml:space="preserve"> is to move the </w:t>
      </w:r>
      <w:r w:rsidR="008C6BA5">
        <w:rPr>
          <w:b/>
        </w:rPr>
        <w:t xml:space="preserve">official regional </w:t>
      </w:r>
      <w:r w:rsidRPr="001E7B6F">
        <w:rPr>
          <w:b/>
        </w:rPr>
        <w:t>website</w:t>
      </w:r>
      <w:r w:rsidR="003630D8" w:rsidRPr="001E7B6F">
        <w:rPr>
          <w:b/>
        </w:rPr>
        <w:t xml:space="preserve"> from MOTBD’s control. This will provide SEMT with the following </w:t>
      </w:r>
      <w:r w:rsidR="001E7B6F" w:rsidRPr="001E7B6F">
        <w:rPr>
          <w:b/>
        </w:rPr>
        <w:t xml:space="preserve">benefits. </w:t>
      </w:r>
    </w:p>
    <w:p w14:paraId="49686B7B" w14:textId="1A8EAA7A" w:rsidR="001B79D1" w:rsidRDefault="001E7B6F" w:rsidP="001E7B6F">
      <w:pPr>
        <w:pStyle w:val="ListParagraph"/>
        <w:numPr>
          <w:ilvl w:val="0"/>
          <w:numId w:val="7"/>
        </w:numPr>
      </w:pPr>
      <w:r>
        <w:t>More control over content</w:t>
      </w:r>
      <w:r w:rsidR="00E57753">
        <w:t xml:space="preserve"> (considerable customer service speed enhancement)</w:t>
      </w:r>
    </w:p>
    <w:p w14:paraId="5BC5DD1A" w14:textId="6E2EBC85" w:rsidR="001E7B6F" w:rsidRDefault="001E7B6F" w:rsidP="001E7B6F">
      <w:pPr>
        <w:pStyle w:val="ListParagraph"/>
        <w:numPr>
          <w:ilvl w:val="0"/>
          <w:numId w:val="7"/>
        </w:numPr>
      </w:pPr>
      <w:r>
        <w:t>Ability to fix issues in a timely manner</w:t>
      </w:r>
      <w:r w:rsidR="00E57753">
        <w:t xml:space="preserve"> (emergency contact for after hours too)</w:t>
      </w:r>
    </w:p>
    <w:p w14:paraId="4A9D913C" w14:textId="1A8E3AAC" w:rsidR="003E796E" w:rsidRPr="00E57753" w:rsidRDefault="001E7B6F" w:rsidP="005C4121">
      <w:pPr>
        <w:pStyle w:val="ListParagraph"/>
        <w:numPr>
          <w:ilvl w:val="0"/>
          <w:numId w:val="7"/>
        </w:numPr>
        <w:rPr>
          <w:i/>
        </w:rPr>
      </w:pPr>
      <w:r>
        <w:t>Integrating the website to social media and marketing campaigns for greater success</w:t>
      </w:r>
    </w:p>
    <w:p w14:paraId="2AB5F5BE" w14:textId="3B4BE6A6" w:rsidR="00E57753" w:rsidRPr="00E57753" w:rsidRDefault="00E57753" w:rsidP="005C4121">
      <w:pPr>
        <w:pStyle w:val="ListParagraph"/>
        <w:numPr>
          <w:ilvl w:val="0"/>
          <w:numId w:val="7"/>
        </w:numPr>
        <w:rPr>
          <w:i/>
        </w:rPr>
      </w:pPr>
      <w:r>
        <w:t>Greater rich media capabilities with video, photography, and more.</w:t>
      </w:r>
    </w:p>
    <w:p w14:paraId="05FC4E13" w14:textId="43977BCD" w:rsidR="00E57753" w:rsidRPr="00E57753" w:rsidRDefault="00E57753" w:rsidP="005C4121">
      <w:pPr>
        <w:pStyle w:val="ListParagraph"/>
        <w:numPr>
          <w:ilvl w:val="0"/>
          <w:numId w:val="7"/>
        </w:numPr>
        <w:rPr>
          <w:i/>
        </w:rPr>
      </w:pPr>
      <w:r>
        <w:t>Enhanced organic search engine ranking opportunity.</w:t>
      </w:r>
    </w:p>
    <w:p w14:paraId="69DC4D89" w14:textId="25754B0E" w:rsidR="00E57753" w:rsidRPr="001E7B6F" w:rsidRDefault="00E57753" w:rsidP="005C4121">
      <w:pPr>
        <w:pStyle w:val="ListParagraph"/>
        <w:numPr>
          <w:ilvl w:val="0"/>
          <w:numId w:val="7"/>
        </w:numPr>
        <w:rPr>
          <w:i/>
        </w:rPr>
      </w:pPr>
      <w:r>
        <w:t>Greater capability to add the latest technological plug ins to provide research data, greater user engagement, and better traffic analysis</w:t>
      </w:r>
    </w:p>
    <w:p w14:paraId="253C0449" w14:textId="77777777" w:rsidR="004C5D98" w:rsidRDefault="004C5D98" w:rsidP="00BF7CEC">
      <w:pPr>
        <w:rPr>
          <w:b/>
        </w:rPr>
      </w:pPr>
    </w:p>
    <w:tbl>
      <w:tblPr>
        <w:tblStyle w:val="TableGrid"/>
        <w:tblW w:w="0" w:type="auto"/>
        <w:tblLook w:val="04A0" w:firstRow="1" w:lastRow="0" w:firstColumn="1" w:lastColumn="0" w:noHBand="0" w:noVBand="1"/>
      </w:tblPr>
      <w:tblGrid>
        <w:gridCol w:w="4675"/>
        <w:gridCol w:w="4675"/>
      </w:tblGrid>
      <w:tr w:rsidR="008C6BA5" w14:paraId="7C2754DF" w14:textId="77777777" w:rsidTr="008C6BA5">
        <w:tc>
          <w:tcPr>
            <w:tcW w:w="4675" w:type="dxa"/>
          </w:tcPr>
          <w:p w14:paraId="271C3AEE" w14:textId="44551031" w:rsidR="008C6BA5" w:rsidRDefault="008C6BA5" w:rsidP="00BF7CEC">
            <w:pPr>
              <w:rPr>
                <w:b/>
              </w:rPr>
            </w:pPr>
            <w:r>
              <w:rPr>
                <w:b/>
              </w:rPr>
              <w:t>Website Redesign / Content Creation</w:t>
            </w:r>
          </w:p>
        </w:tc>
        <w:tc>
          <w:tcPr>
            <w:tcW w:w="4675" w:type="dxa"/>
          </w:tcPr>
          <w:p w14:paraId="010D73FD" w14:textId="5EE5C037" w:rsidR="008C6BA5" w:rsidRDefault="008C6BA5" w:rsidP="00BF7CEC">
            <w:pPr>
              <w:rPr>
                <w:b/>
              </w:rPr>
            </w:pPr>
            <w:r>
              <w:rPr>
                <w:b/>
              </w:rPr>
              <w:t>$17,000</w:t>
            </w:r>
          </w:p>
        </w:tc>
      </w:tr>
      <w:tr w:rsidR="008C6BA5" w14:paraId="42013B84" w14:textId="77777777" w:rsidTr="008C6BA5">
        <w:tc>
          <w:tcPr>
            <w:tcW w:w="4675" w:type="dxa"/>
          </w:tcPr>
          <w:p w14:paraId="0BEFF669" w14:textId="7DF5831C" w:rsidR="008C6BA5" w:rsidRDefault="008C6BA5" w:rsidP="00BF7CEC">
            <w:pPr>
              <w:rPr>
                <w:b/>
              </w:rPr>
            </w:pPr>
            <w:r>
              <w:rPr>
                <w:b/>
              </w:rPr>
              <w:t>12 Months of Hosting / Security / Analytics</w:t>
            </w:r>
          </w:p>
        </w:tc>
        <w:tc>
          <w:tcPr>
            <w:tcW w:w="4675" w:type="dxa"/>
          </w:tcPr>
          <w:p w14:paraId="0FCCE1DB" w14:textId="62309CA0" w:rsidR="008C6BA5" w:rsidRDefault="008C6BA5" w:rsidP="00BF7CEC">
            <w:pPr>
              <w:rPr>
                <w:b/>
              </w:rPr>
            </w:pPr>
            <w:r>
              <w:rPr>
                <w:b/>
              </w:rPr>
              <w:t>$1,000</w:t>
            </w:r>
          </w:p>
        </w:tc>
      </w:tr>
      <w:tr w:rsidR="008C6BA5" w14:paraId="17FE9D0B" w14:textId="77777777" w:rsidTr="008C6BA5">
        <w:tc>
          <w:tcPr>
            <w:tcW w:w="4675" w:type="dxa"/>
          </w:tcPr>
          <w:p w14:paraId="79534C65" w14:textId="1DDB6D7D" w:rsidR="008C6BA5" w:rsidRDefault="008C6BA5" w:rsidP="00BF7CEC">
            <w:pPr>
              <w:rPr>
                <w:b/>
              </w:rPr>
            </w:pPr>
            <w:r>
              <w:rPr>
                <w:b/>
              </w:rPr>
              <w:t>Website Programming</w:t>
            </w:r>
          </w:p>
        </w:tc>
        <w:tc>
          <w:tcPr>
            <w:tcW w:w="4675" w:type="dxa"/>
          </w:tcPr>
          <w:p w14:paraId="0BA6C5CA" w14:textId="06041A9F" w:rsidR="008C6BA5" w:rsidRDefault="008C6BA5" w:rsidP="00BF7CEC">
            <w:pPr>
              <w:rPr>
                <w:b/>
              </w:rPr>
            </w:pPr>
            <w:r>
              <w:rPr>
                <w:b/>
              </w:rPr>
              <w:t>$8,000</w:t>
            </w:r>
          </w:p>
        </w:tc>
      </w:tr>
      <w:tr w:rsidR="008C6BA5" w14:paraId="3DB49796" w14:textId="77777777" w:rsidTr="008C6BA5">
        <w:tc>
          <w:tcPr>
            <w:tcW w:w="4675" w:type="dxa"/>
          </w:tcPr>
          <w:p w14:paraId="2C32FB24" w14:textId="0270DBAE" w:rsidR="008C6BA5" w:rsidRDefault="008C6BA5" w:rsidP="00BF7CEC">
            <w:pPr>
              <w:rPr>
                <w:b/>
              </w:rPr>
            </w:pPr>
            <w:r>
              <w:rPr>
                <w:b/>
              </w:rPr>
              <w:t>Testing, Mobile Responsiveness, Additional Customizations</w:t>
            </w:r>
          </w:p>
        </w:tc>
        <w:tc>
          <w:tcPr>
            <w:tcW w:w="4675" w:type="dxa"/>
          </w:tcPr>
          <w:p w14:paraId="3AD94EE6" w14:textId="75017DD8" w:rsidR="008C6BA5" w:rsidRDefault="008C6BA5" w:rsidP="00BF7CEC">
            <w:pPr>
              <w:rPr>
                <w:b/>
              </w:rPr>
            </w:pPr>
            <w:r>
              <w:rPr>
                <w:b/>
              </w:rPr>
              <w:t>$2,000</w:t>
            </w:r>
          </w:p>
        </w:tc>
      </w:tr>
    </w:tbl>
    <w:p w14:paraId="314D7FD5" w14:textId="77777777" w:rsidR="008C6BA5" w:rsidRDefault="008C6BA5" w:rsidP="00BF7CEC">
      <w:pPr>
        <w:rPr>
          <w:b/>
        </w:rPr>
      </w:pPr>
    </w:p>
    <w:p w14:paraId="052DEB12" w14:textId="656DAA2F" w:rsidR="008C6BA5" w:rsidRDefault="00A22E84" w:rsidP="00BF7CEC">
      <w:pPr>
        <w:rPr>
          <w:b/>
        </w:rPr>
      </w:pPr>
      <w:r>
        <w:rPr>
          <w:b/>
        </w:rPr>
        <w:t>$28,000 Budget Allocation for Website</w:t>
      </w:r>
    </w:p>
    <w:p w14:paraId="4CEAC3FD" w14:textId="77777777" w:rsidR="00A22E84" w:rsidRDefault="00A22E84" w:rsidP="00BF7CEC">
      <w:pPr>
        <w:rPr>
          <w:b/>
        </w:rPr>
      </w:pPr>
    </w:p>
    <w:p w14:paraId="3B26AEC8" w14:textId="25DFCB1F" w:rsidR="00A22E84" w:rsidRPr="00A22E84" w:rsidRDefault="00A22E84" w:rsidP="00BF7CEC">
      <w:r w:rsidRPr="00A22E84">
        <w:t>The new website working in conjunction with the private partnerships, micro-site, and other potential partnership projects will provide Visit SEMT the digital foundation to reach our marketing goals, while also letting us stay focused on private revenue acquisition critical to the region.</w:t>
      </w:r>
    </w:p>
    <w:p w14:paraId="560C0319" w14:textId="77777777" w:rsidR="00A22E84" w:rsidRDefault="00A22E84" w:rsidP="00BF7CEC">
      <w:pPr>
        <w:rPr>
          <w:b/>
        </w:rPr>
      </w:pPr>
    </w:p>
    <w:p w14:paraId="385D0607" w14:textId="5AC3A252" w:rsidR="00BF7CEC" w:rsidRDefault="007E59BF" w:rsidP="00BF7CEC">
      <w:pPr>
        <w:rPr>
          <w:b/>
        </w:rPr>
      </w:pPr>
      <w:bookmarkStart w:id="0" w:name="_GoBack"/>
      <w:bookmarkEnd w:id="0"/>
      <w:r>
        <w:rPr>
          <w:b/>
        </w:rPr>
        <w:t xml:space="preserve">Option 3: </w:t>
      </w:r>
      <w:r w:rsidR="00BF7CEC" w:rsidRPr="00BF7CEC">
        <w:rPr>
          <w:b/>
        </w:rPr>
        <w:t>Tear Off Maps</w:t>
      </w:r>
      <w:r w:rsidR="004C5D98">
        <w:rPr>
          <w:b/>
        </w:rPr>
        <w:t xml:space="preserve"> Model</w:t>
      </w:r>
    </w:p>
    <w:p w14:paraId="0F03802C" w14:textId="77777777" w:rsidR="004C5D98" w:rsidRPr="00BF7CEC" w:rsidRDefault="004C5D98" w:rsidP="00BF7CEC">
      <w:pPr>
        <w:rPr>
          <w:b/>
        </w:rPr>
      </w:pPr>
    </w:p>
    <w:p w14:paraId="5BA157AF" w14:textId="4D959003" w:rsidR="00D1472C" w:rsidRDefault="00BF7CEC" w:rsidP="00BF7CEC">
      <w:r>
        <w:t>Develop 2-3 themed tear off maps that were originally proposed under niche publications. These maps will serve as a marketing tool, but will also generate revenue. Windfall, Inc. will sell</w:t>
      </w:r>
      <w:r w:rsidR="004C5D98">
        <w:t xml:space="preserve"> branding opportunities on the maps with pricing and sales strategy proposed by Windfall once we have projects and costs better defined.  Windfall </w:t>
      </w:r>
      <w:r>
        <w:t xml:space="preserve"> </w:t>
      </w:r>
      <w:r w:rsidR="004C5D98">
        <w:t>would collect a 25% commission for managing the tear off map project efforts.</w:t>
      </w:r>
    </w:p>
    <w:p w14:paraId="7E2198F1" w14:textId="77777777" w:rsidR="00BF7CEC" w:rsidRDefault="00BF7CEC" w:rsidP="00BF7CEC"/>
    <w:p w14:paraId="02946E20" w14:textId="66327ED3" w:rsidR="00BF7CEC" w:rsidRDefault="004C5D98" w:rsidP="00BF7CEC">
      <w:r>
        <w:t>All tear off maps will be self funded and profitable for Visit SEMT for the project to be executed.  It will also free up $7,000 in the niche printing portion of the bed tax budget for Visit SEMT.</w:t>
      </w:r>
    </w:p>
    <w:p w14:paraId="46B699AE" w14:textId="77777777" w:rsidR="004C5D98" w:rsidRDefault="004C5D98" w:rsidP="00BF7CEC"/>
    <w:p w14:paraId="3A3863F5" w14:textId="1A48AA11" w:rsidR="004C5D98" w:rsidRPr="00A22E84" w:rsidRDefault="004C5D98" w:rsidP="00BF7CEC">
      <w:pPr>
        <w:rPr>
          <w:i/>
        </w:rPr>
      </w:pPr>
      <w:r w:rsidRPr="00A22E84">
        <w:rPr>
          <w:i/>
        </w:rPr>
        <w:t>The Destination Missoula map model generates $10,000 in revenue and costs $4,000 roughly to print.  That model applied to Visit SEMT would generate a profit of $3,500 after all expenses are considered.</w:t>
      </w:r>
    </w:p>
    <w:p w14:paraId="3D4DE714" w14:textId="77777777" w:rsidR="003E796E" w:rsidRDefault="003E796E" w:rsidP="003E796E">
      <w:pPr>
        <w:rPr>
          <w:i/>
        </w:rPr>
      </w:pPr>
    </w:p>
    <w:tbl>
      <w:tblPr>
        <w:tblStyle w:val="TableGrid"/>
        <w:tblW w:w="0" w:type="auto"/>
        <w:tblLook w:val="04A0" w:firstRow="1" w:lastRow="0" w:firstColumn="1" w:lastColumn="0" w:noHBand="0" w:noVBand="1"/>
      </w:tblPr>
      <w:tblGrid>
        <w:gridCol w:w="2337"/>
        <w:gridCol w:w="2337"/>
        <w:gridCol w:w="2338"/>
        <w:gridCol w:w="2338"/>
      </w:tblGrid>
      <w:tr w:rsidR="00A22E84" w14:paraId="07CC6F45" w14:textId="77777777" w:rsidTr="00A22E84">
        <w:tc>
          <w:tcPr>
            <w:tcW w:w="2337" w:type="dxa"/>
          </w:tcPr>
          <w:p w14:paraId="3FDDF687" w14:textId="3065236E" w:rsidR="00A22E84" w:rsidRPr="00A22E84" w:rsidRDefault="00A22E84" w:rsidP="00E57753">
            <w:pPr>
              <w:rPr>
                <w:rFonts w:ascii="Calibri" w:hAnsi="Calibri" w:cs="Times New Roman"/>
                <w:b/>
                <w:color w:val="000000"/>
                <w:sz w:val="22"/>
                <w:szCs w:val="22"/>
              </w:rPr>
            </w:pPr>
            <w:r w:rsidRPr="00A22E84">
              <w:rPr>
                <w:rFonts w:ascii="Calibri" w:hAnsi="Calibri" w:cs="Times New Roman"/>
                <w:b/>
                <w:color w:val="000000"/>
                <w:sz w:val="22"/>
                <w:szCs w:val="22"/>
              </w:rPr>
              <w:t>Map Project</w:t>
            </w:r>
          </w:p>
        </w:tc>
        <w:tc>
          <w:tcPr>
            <w:tcW w:w="2337" w:type="dxa"/>
          </w:tcPr>
          <w:p w14:paraId="41476EE9" w14:textId="330CEF81" w:rsidR="00A22E84" w:rsidRPr="00A22E84" w:rsidRDefault="00A22E84" w:rsidP="00E57753">
            <w:pPr>
              <w:rPr>
                <w:rFonts w:ascii="Calibri" w:hAnsi="Calibri" w:cs="Times New Roman"/>
                <w:b/>
                <w:color w:val="000000"/>
                <w:sz w:val="22"/>
                <w:szCs w:val="22"/>
              </w:rPr>
            </w:pPr>
            <w:r w:rsidRPr="00A22E84">
              <w:rPr>
                <w:rFonts w:ascii="Calibri" w:hAnsi="Calibri" w:cs="Times New Roman"/>
                <w:b/>
                <w:color w:val="000000"/>
                <w:sz w:val="22"/>
                <w:szCs w:val="22"/>
              </w:rPr>
              <w:t>Revenue Projection</w:t>
            </w:r>
          </w:p>
        </w:tc>
        <w:tc>
          <w:tcPr>
            <w:tcW w:w="2338" w:type="dxa"/>
          </w:tcPr>
          <w:p w14:paraId="6C76C0A0" w14:textId="124CF8B7" w:rsidR="00A22E84" w:rsidRPr="00A22E84" w:rsidRDefault="00A22E84" w:rsidP="00E57753">
            <w:pPr>
              <w:rPr>
                <w:rFonts w:ascii="Calibri" w:hAnsi="Calibri" w:cs="Times New Roman"/>
                <w:b/>
                <w:color w:val="000000"/>
                <w:sz w:val="22"/>
                <w:szCs w:val="22"/>
              </w:rPr>
            </w:pPr>
            <w:r w:rsidRPr="00A22E84">
              <w:rPr>
                <w:rFonts w:ascii="Calibri" w:hAnsi="Calibri" w:cs="Times New Roman"/>
                <w:b/>
                <w:color w:val="000000"/>
                <w:sz w:val="22"/>
                <w:szCs w:val="22"/>
              </w:rPr>
              <w:t>Printing Projection</w:t>
            </w:r>
          </w:p>
        </w:tc>
        <w:tc>
          <w:tcPr>
            <w:tcW w:w="2338" w:type="dxa"/>
          </w:tcPr>
          <w:p w14:paraId="22C8AE1E" w14:textId="2DEE3795" w:rsidR="00A22E84" w:rsidRPr="00A22E84" w:rsidRDefault="00A22E84" w:rsidP="00E57753">
            <w:pPr>
              <w:rPr>
                <w:rFonts w:ascii="Calibri" w:hAnsi="Calibri" w:cs="Times New Roman"/>
                <w:b/>
                <w:color w:val="000000"/>
                <w:sz w:val="22"/>
                <w:szCs w:val="22"/>
              </w:rPr>
            </w:pPr>
            <w:r w:rsidRPr="00A22E84">
              <w:rPr>
                <w:rFonts w:ascii="Calibri" w:hAnsi="Calibri" w:cs="Times New Roman"/>
                <w:b/>
                <w:color w:val="000000"/>
                <w:sz w:val="22"/>
                <w:szCs w:val="22"/>
              </w:rPr>
              <w:t>Windfall Management</w:t>
            </w:r>
          </w:p>
        </w:tc>
      </w:tr>
      <w:tr w:rsidR="00A22E84" w14:paraId="083F2147" w14:textId="77777777" w:rsidTr="00A22E84">
        <w:trPr>
          <w:trHeight w:val="305"/>
        </w:trPr>
        <w:tc>
          <w:tcPr>
            <w:tcW w:w="2337" w:type="dxa"/>
          </w:tcPr>
          <w:p w14:paraId="48D570A6" w14:textId="26D72453"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General Tear Off Map</w:t>
            </w:r>
          </w:p>
        </w:tc>
        <w:tc>
          <w:tcPr>
            <w:tcW w:w="2337" w:type="dxa"/>
          </w:tcPr>
          <w:p w14:paraId="3F4F6E31" w14:textId="26994BC9"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$10,000</w:t>
            </w:r>
          </w:p>
        </w:tc>
        <w:tc>
          <w:tcPr>
            <w:tcW w:w="2338" w:type="dxa"/>
          </w:tcPr>
          <w:p w14:paraId="65431821" w14:textId="1F191338"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$5,000</w:t>
            </w:r>
          </w:p>
        </w:tc>
        <w:tc>
          <w:tcPr>
            <w:tcW w:w="2338" w:type="dxa"/>
          </w:tcPr>
          <w:p w14:paraId="5A018B05" w14:textId="484F5BDF"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$2,500</w:t>
            </w:r>
          </w:p>
        </w:tc>
      </w:tr>
      <w:tr w:rsidR="00A22E84" w14:paraId="460136ED" w14:textId="77777777" w:rsidTr="00A22E84">
        <w:tc>
          <w:tcPr>
            <w:tcW w:w="2337" w:type="dxa"/>
          </w:tcPr>
          <w:p w14:paraId="78EC47D4" w14:textId="2784604A"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Themed Tear Off Map</w:t>
            </w:r>
          </w:p>
        </w:tc>
        <w:tc>
          <w:tcPr>
            <w:tcW w:w="2337" w:type="dxa"/>
          </w:tcPr>
          <w:p w14:paraId="1B8C8235" w14:textId="1C6ECE67"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$5,000</w:t>
            </w:r>
          </w:p>
        </w:tc>
        <w:tc>
          <w:tcPr>
            <w:tcW w:w="2338" w:type="dxa"/>
          </w:tcPr>
          <w:p w14:paraId="786BFE32" w14:textId="305AD46A"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$2,500</w:t>
            </w:r>
          </w:p>
        </w:tc>
        <w:tc>
          <w:tcPr>
            <w:tcW w:w="2338" w:type="dxa"/>
          </w:tcPr>
          <w:p w14:paraId="6203C749" w14:textId="756F3084"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$1,000</w:t>
            </w:r>
          </w:p>
        </w:tc>
      </w:tr>
      <w:tr w:rsidR="00A22E84" w14:paraId="0B896144" w14:textId="77777777" w:rsidTr="00A22E84">
        <w:tc>
          <w:tcPr>
            <w:tcW w:w="2337" w:type="dxa"/>
          </w:tcPr>
          <w:p w14:paraId="37A50228" w14:textId="45A520ED"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Themed Tear Off Map</w:t>
            </w:r>
          </w:p>
        </w:tc>
        <w:tc>
          <w:tcPr>
            <w:tcW w:w="2337" w:type="dxa"/>
          </w:tcPr>
          <w:p w14:paraId="50508D20" w14:textId="6AED105E"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$5,000</w:t>
            </w:r>
          </w:p>
        </w:tc>
        <w:tc>
          <w:tcPr>
            <w:tcW w:w="2338" w:type="dxa"/>
          </w:tcPr>
          <w:p w14:paraId="3D42E13D" w14:textId="7515C07D"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$2,500</w:t>
            </w:r>
          </w:p>
        </w:tc>
        <w:tc>
          <w:tcPr>
            <w:tcW w:w="2338" w:type="dxa"/>
          </w:tcPr>
          <w:p w14:paraId="49C7A81E" w14:textId="5F1BDF6A"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$1,000</w:t>
            </w:r>
          </w:p>
        </w:tc>
      </w:tr>
      <w:tr w:rsidR="00A22E84" w14:paraId="19E44729" w14:textId="77777777" w:rsidTr="00A22E84">
        <w:tc>
          <w:tcPr>
            <w:tcW w:w="2337" w:type="dxa"/>
          </w:tcPr>
          <w:p w14:paraId="4ACE3D2D" w14:textId="658AA29E"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Themed Tear Off map</w:t>
            </w:r>
          </w:p>
        </w:tc>
        <w:tc>
          <w:tcPr>
            <w:tcW w:w="2337" w:type="dxa"/>
          </w:tcPr>
          <w:p w14:paraId="650DD621" w14:textId="128D867B"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$3,000</w:t>
            </w:r>
          </w:p>
        </w:tc>
        <w:tc>
          <w:tcPr>
            <w:tcW w:w="2338" w:type="dxa"/>
          </w:tcPr>
          <w:p w14:paraId="5EDC8C00" w14:textId="30DB4C92"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$1,250</w:t>
            </w:r>
          </w:p>
        </w:tc>
        <w:tc>
          <w:tcPr>
            <w:tcW w:w="2338" w:type="dxa"/>
          </w:tcPr>
          <w:p w14:paraId="4DF3B7F0" w14:textId="1BD6826E" w:rsidR="00A22E84" w:rsidRDefault="00A22E84" w:rsidP="00E57753">
            <w:pPr>
              <w:rPr>
                <w:rFonts w:ascii="Calibri" w:hAnsi="Calibri" w:cs="Times New Roman"/>
                <w:color w:val="000000"/>
                <w:sz w:val="22"/>
                <w:szCs w:val="22"/>
              </w:rPr>
            </w:pPr>
            <w:r>
              <w:rPr>
                <w:rFonts w:ascii="Calibri" w:hAnsi="Calibri" w:cs="Times New Roman"/>
                <w:color w:val="000000"/>
                <w:sz w:val="22"/>
                <w:szCs w:val="22"/>
              </w:rPr>
              <w:t>$750</w:t>
            </w:r>
          </w:p>
        </w:tc>
      </w:tr>
    </w:tbl>
    <w:p w14:paraId="2B37E85F" w14:textId="77777777" w:rsidR="00E57753" w:rsidRPr="00E57753" w:rsidRDefault="00E57753" w:rsidP="00E57753">
      <w:pPr>
        <w:rPr>
          <w:rFonts w:ascii="Calibri" w:hAnsi="Calibri" w:cs="Times New Roman"/>
          <w:color w:val="000000"/>
          <w:sz w:val="22"/>
          <w:szCs w:val="22"/>
        </w:rPr>
      </w:pPr>
      <w:r w:rsidRPr="00E57753">
        <w:rPr>
          <w:rFonts w:ascii="Calibri" w:hAnsi="Calibri" w:cs="Times New Roman"/>
          <w:color w:val="000000"/>
          <w:sz w:val="22"/>
          <w:szCs w:val="22"/>
        </w:rPr>
        <w:t> </w:t>
      </w:r>
    </w:p>
    <w:p w14:paraId="34E8CC82" w14:textId="7D4169A8" w:rsidR="00136620" w:rsidRPr="002C60B6" w:rsidRDefault="00A22E84" w:rsidP="00E57753">
      <w:pPr>
        <w:rPr>
          <w:b/>
        </w:rPr>
      </w:pPr>
      <w:r w:rsidRPr="002C60B6">
        <w:rPr>
          <w:b/>
        </w:rPr>
        <w:t>Estimated V</w:t>
      </w:r>
      <w:r w:rsidR="002C60B6" w:rsidRPr="002C60B6">
        <w:rPr>
          <w:b/>
        </w:rPr>
        <w:t>isit SEMT profit projection:  $6,500</w:t>
      </w:r>
      <w:r w:rsidRPr="002C60B6">
        <w:rPr>
          <w:b/>
        </w:rPr>
        <w:t xml:space="preserve"> (plus $7,000 in niche printing budget savings)</w:t>
      </w:r>
    </w:p>
    <w:sectPr w:rsidR="00136620" w:rsidRPr="002C60B6" w:rsidSect="00F47B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B129F" w14:textId="77777777" w:rsidR="0008580F" w:rsidRDefault="0008580F" w:rsidP="007E59BF">
      <w:r>
        <w:separator/>
      </w:r>
    </w:p>
  </w:endnote>
  <w:endnote w:type="continuationSeparator" w:id="0">
    <w:p w14:paraId="43BDBF57" w14:textId="77777777" w:rsidR="0008580F" w:rsidRDefault="0008580F" w:rsidP="007E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FECB" w14:textId="77777777" w:rsidR="0008580F" w:rsidRDefault="0008580F" w:rsidP="007E59BF">
      <w:r>
        <w:separator/>
      </w:r>
    </w:p>
  </w:footnote>
  <w:footnote w:type="continuationSeparator" w:id="0">
    <w:p w14:paraId="7208FFED" w14:textId="77777777" w:rsidR="0008580F" w:rsidRDefault="0008580F" w:rsidP="007E59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D0613"/>
    <w:multiLevelType w:val="hybridMultilevel"/>
    <w:tmpl w:val="7E4E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33669"/>
    <w:multiLevelType w:val="multilevel"/>
    <w:tmpl w:val="23BA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981ED4"/>
    <w:multiLevelType w:val="multilevel"/>
    <w:tmpl w:val="DCDE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513C91"/>
    <w:multiLevelType w:val="hybridMultilevel"/>
    <w:tmpl w:val="433C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31FF2"/>
    <w:multiLevelType w:val="multilevel"/>
    <w:tmpl w:val="6658D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477E15"/>
    <w:multiLevelType w:val="multilevel"/>
    <w:tmpl w:val="9710E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6A1651"/>
    <w:multiLevelType w:val="multilevel"/>
    <w:tmpl w:val="C7D82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94680B"/>
    <w:multiLevelType w:val="hybridMultilevel"/>
    <w:tmpl w:val="974CEC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6185B18"/>
    <w:multiLevelType w:val="hybridMultilevel"/>
    <w:tmpl w:val="68C6D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6"/>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CF"/>
    <w:rsid w:val="000760CA"/>
    <w:rsid w:val="0008580F"/>
    <w:rsid w:val="000B2F42"/>
    <w:rsid w:val="00107BDC"/>
    <w:rsid w:val="00136620"/>
    <w:rsid w:val="001B79D1"/>
    <w:rsid w:val="001E7B6F"/>
    <w:rsid w:val="00206BCC"/>
    <w:rsid w:val="002A098B"/>
    <w:rsid w:val="002C60B6"/>
    <w:rsid w:val="00320A87"/>
    <w:rsid w:val="00341E10"/>
    <w:rsid w:val="003614D1"/>
    <w:rsid w:val="003630D8"/>
    <w:rsid w:val="00384135"/>
    <w:rsid w:val="003E796E"/>
    <w:rsid w:val="00431BEB"/>
    <w:rsid w:val="00471AA8"/>
    <w:rsid w:val="004C5D98"/>
    <w:rsid w:val="00656539"/>
    <w:rsid w:val="00731165"/>
    <w:rsid w:val="00746248"/>
    <w:rsid w:val="00783032"/>
    <w:rsid w:val="007E59BF"/>
    <w:rsid w:val="008C6BA5"/>
    <w:rsid w:val="008D1CB9"/>
    <w:rsid w:val="00921CE1"/>
    <w:rsid w:val="009F5FCF"/>
    <w:rsid w:val="00A22E84"/>
    <w:rsid w:val="00AC21C3"/>
    <w:rsid w:val="00AD3007"/>
    <w:rsid w:val="00AE323E"/>
    <w:rsid w:val="00AF0F5A"/>
    <w:rsid w:val="00B4591C"/>
    <w:rsid w:val="00B52DBC"/>
    <w:rsid w:val="00B94A90"/>
    <w:rsid w:val="00BF7CEC"/>
    <w:rsid w:val="00C15E87"/>
    <w:rsid w:val="00C64CC7"/>
    <w:rsid w:val="00CB41ED"/>
    <w:rsid w:val="00D1472C"/>
    <w:rsid w:val="00D66F23"/>
    <w:rsid w:val="00DD4396"/>
    <w:rsid w:val="00E57753"/>
    <w:rsid w:val="00EF68AC"/>
    <w:rsid w:val="00F10359"/>
    <w:rsid w:val="00F43D00"/>
    <w:rsid w:val="00F47B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EE40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D00"/>
    <w:pPr>
      <w:ind w:left="720"/>
      <w:contextualSpacing/>
    </w:pPr>
  </w:style>
  <w:style w:type="character" w:styleId="Hyperlink">
    <w:name w:val="Hyperlink"/>
    <w:basedOn w:val="DefaultParagraphFont"/>
    <w:uiPriority w:val="99"/>
    <w:unhideWhenUsed/>
    <w:rsid w:val="00471AA8"/>
    <w:rPr>
      <w:color w:val="0563C1" w:themeColor="hyperlink"/>
      <w:u w:val="single"/>
    </w:rPr>
  </w:style>
  <w:style w:type="character" w:customStyle="1" w:styleId="apple-converted-space">
    <w:name w:val="apple-converted-space"/>
    <w:basedOn w:val="DefaultParagraphFont"/>
    <w:rsid w:val="00136620"/>
  </w:style>
  <w:style w:type="table" w:styleId="TableGrid">
    <w:name w:val="Table Grid"/>
    <w:basedOn w:val="TableNormal"/>
    <w:uiPriority w:val="39"/>
    <w:rsid w:val="00E57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59BF"/>
    <w:pPr>
      <w:tabs>
        <w:tab w:val="center" w:pos="4680"/>
        <w:tab w:val="right" w:pos="9360"/>
      </w:tabs>
    </w:pPr>
  </w:style>
  <w:style w:type="character" w:customStyle="1" w:styleId="HeaderChar">
    <w:name w:val="Header Char"/>
    <w:basedOn w:val="DefaultParagraphFont"/>
    <w:link w:val="Header"/>
    <w:uiPriority w:val="99"/>
    <w:rsid w:val="007E59BF"/>
  </w:style>
  <w:style w:type="paragraph" w:styleId="Footer">
    <w:name w:val="footer"/>
    <w:basedOn w:val="Normal"/>
    <w:link w:val="FooterChar"/>
    <w:uiPriority w:val="99"/>
    <w:unhideWhenUsed/>
    <w:rsid w:val="007E59BF"/>
    <w:pPr>
      <w:tabs>
        <w:tab w:val="center" w:pos="4680"/>
        <w:tab w:val="right" w:pos="9360"/>
      </w:tabs>
    </w:pPr>
  </w:style>
  <w:style w:type="character" w:customStyle="1" w:styleId="FooterChar">
    <w:name w:val="Footer Char"/>
    <w:basedOn w:val="DefaultParagraphFont"/>
    <w:link w:val="Footer"/>
    <w:uiPriority w:val="99"/>
    <w:rsid w:val="007E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8467">
      <w:bodyDiv w:val="1"/>
      <w:marLeft w:val="0"/>
      <w:marRight w:val="0"/>
      <w:marTop w:val="0"/>
      <w:marBottom w:val="0"/>
      <w:divBdr>
        <w:top w:val="none" w:sz="0" w:space="0" w:color="auto"/>
        <w:left w:val="none" w:sz="0" w:space="0" w:color="auto"/>
        <w:bottom w:val="none" w:sz="0" w:space="0" w:color="auto"/>
        <w:right w:val="none" w:sz="0" w:space="0" w:color="auto"/>
      </w:divBdr>
    </w:div>
    <w:div w:id="829561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glaciermt.com/summer17.php" TargetMode="External"/><Relationship Id="rId9" Type="http://schemas.openxmlformats.org/officeDocument/2006/relationships/hyperlink" Target="http://weflynort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5540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Megan</dc:creator>
  <cp:keywords/>
  <dc:description/>
  <cp:lastModifiedBy>Kyle McGowan</cp:lastModifiedBy>
  <cp:revision>2</cp:revision>
  <dcterms:created xsi:type="dcterms:W3CDTF">2017-09-12T22:37:00Z</dcterms:created>
  <dcterms:modified xsi:type="dcterms:W3CDTF">2017-09-12T22:37:00Z</dcterms:modified>
</cp:coreProperties>
</file>